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A347CB">
        <w:rPr>
          <w:rFonts w:ascii="Times New Roman" w:hAnsi="Times New Roman" w:cs="Times New Roman"/>
          <w:b/>
          <w:bCs/>
          <w:sz w:val="24"/>
          <w:szCs w:val="24"/>
          <w:lang w:val="en-US"/>
        </w:rPr>
        <w:t>96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E72A08">
        <w:rPr>
          <w:sz w:val="24"/>
          <w:szCs w:val="24"/>
        </w:rPr>
        <w:t>72/2019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E72A08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Brąszewice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A347CB">
        <w:rPr>
          <w:rFonts w:ascii="Times New Roman" w:hAnsi="Times New Roman" w:cs="Times New Roman"/>
          <w:bCs/>
        </w:rPr>
        <w:t>96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Brąszewice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Brąszewiacach (sala konferencyjna)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347CB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72A08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2019-05-08T10:44:00Z</dcterms:modified>
</cp:coreProperties>
</file>